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DCB83" w14:textId="709A71B4" w:rsidR="00484ECD" w:rsidRPr="001D4CCA" w:rsidRDefault="00484ECD" w:rsidP="00484ECD">
      <w:pPr>
        <w:jc w:val="both"/>
        <w:rPr>
          <w:rFonts w:cs="Times New Roman"/>
          <w:b/>
          <w:bCs/>
          <w:sz w:val="22"/>
          <w:szCs w:val="22"/>
        </w:rPr>
      </w:pPr>
      <w:bookmarkStart w:id="0" w:name="_GoBack"/>
      <w:r w:rsidRPr="001D4CCA">
        <w:rPr>
          <w:rFonts w:cs="Times New Roman"/>
          <w:b/>
          <w:bCs/>
          <w:sz w:val="22"/>
          <w:szCs w:val="22"/>
        </w:rPr>
        <w:t>WYMA</w:t>
      </w:r>
      <w:r w:rsidR="00F475B8" w:rsidRPr="001D4CCA">
        <w:rPr>
          <w:rFonts w:cs="Times New Roman"/>
          <w:b/>
          <w:bCs/>
          <w:sz w:val="22"/>
          <w:szCs w:val="22"/>
        </w:rPr>
        <w:t>GA</w:t>
      </w:r>
      <w:r w:rsidRPr="001D4CCA">
        <w:rPr>
          <w:rFonts w:cs="Times New Roman"/>
          <w:b/>
          <w:bCs/>
          <w:sz w:val="22"/>
          <w:szCs w:val="22"/>
        </w:rPr>
        <w:t xml:space="preserve">NIA FUNKCJONALNE – </w:t>
      </w:r>
      <w:r w:rsidR="00C3056F" w:rsidRPr="001D4CCA">
        <w:rPr>
          <w:rFonts w:cs="Times New Roman"/>
          <w:b/>
          <w:bCs/>
          <w:sz w:val="22"/>
          <w:szCs w:val="22"/>
        </w:rPr>
        <w:t>Oprogramowanie do cyfrowej patomorfologii</w:t>
      </w:r>
      <w:r w:rsidRPr="001D4CCA">
        <w:rPr>
          <w:rFonts w:cs="Times New Roman"/>
          <w:b/>
          <w:bCs/>
          <w:sz w:val="22"/>
          <w:szCs w:val="22"/>
        </w:rPr>
        <w:t>:</w:t>
      </w:r>
      <w:r w:rsidR="00C3056F" w:rsidRPr="001D4CCA">
        <w:rPr>
          <w:rFonts w:cs="Times New Roman"/>
          <w:b/>
          <w:bCs/>
          <w:sz w:val="22"/>
          <w:szCs w:val="22"/>
        </w:rPr>
        <w:t xml:space="preserve"> System </w:t>
      </w:r>
      <w:proofErr w:type="spellStart"/>
      <w:r w:rsidR="00C3056F" w:rsidRPr="001D4CCA">
        <w:rPr>
          <w:rFonts w:cs="Times New Roman"/>
          <w:b/>
          <w:bCs/>
          <w:sz w:val="22"/>
          <w:szCs w:val="22"/>
        </w:rPr>
        <w:t>telekonsultacji</w:t>
      </w:r>
      <w:proofErr w:type="spellEnd"/>
      <w:r w:rsidR="00C3056F" w:rsidRPr="001D4CCA">
        <w:rPr>
          <w:rFonts w:cs="Times New Roman"/>
          <w:b/>
          <w:bCs/>
          <w:sz w:val="22"/>
          <w:szCs w:val="22"/>
        </w:rPr>
        <w:t xml:space="preserve"> cyfrowych skanów preparatów mikroskopowych wraz z algorytmami sztucznej inteligencji do analizy obrazu wraz z integracją ze skanerem</w:t>
      </w:r>
    </w:p>
    <w:sdt>
      <w:sdtPr>
        <w:rPr>
          <w:rFonts w:eastAsiaTheme="minorHAnsi" w:cs="Times New Roman"/>
          <w:color w:val="auto"/>
          <w:kern w:val="2"/>
          <w:sz w:val="22"/>
          <w:szCs w:val="22"/>
          <w:lang w:eastAsia="en-US"/>
          <w14:ligatures w14:val="standardContextual"/>
        </w:rPr>
        <w:id w:val="-17883509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9B6AF" w14:textId="2BB7F162" w:rsidR="00344018" w:rsidRPr="001D4CCA" w:rsidRDefault="00344018" w:rsidP="009414A0">
          <w:pPr>
            <w:pStyle w:val="Nagwekspisutreci"/>
            <w:jc w:val="both"/>
            <w:rPr>
              <w:rFonts w:cs="Times New Roman"/>
              <w:color w:val="auto"/>
              <w:sz w:val="22"/>
              <w:szCs w:val="22"/>
            </w:rPr>
          </w:pPr>
          <w:r w:rsidRPr="001D4CCA">
            <w:rPr>
              <w:rFonts w:cs="Times New Roman"/>
              <w:color w:val="auto"/>
              <w:sz w:val="22"/>
              <w:szCs w:val="22"/>
            </w:rPr>
            <w:t>Spis treści</w:t>
          </w:r>
        </w:p>
        <w:p w14:paraId="0D6F6C54" w14:textId="77777777" w:rsidR="0006659A" w:rsidRPr="001D4CCA" w:rsidRDefault="0006659A" w:rsidP="0006659A">
          <w:pPr>
            <w:rPr>
              <w:rFonts w:cs="Times New Roman"/>
              <w:sz w:val="22"/>
              <w:szCs w:val="22"/>
              <w:lang w:eastAsia="pl-PL"/>
            </w:rPr>
          </w:pPr>
        </w:p>
        <w:p w14:paraId="20B84865" w14:textId="32A1B084" w:rsidR="00DE010A" w:rsidRPr="001D4CCA" w:rsidRDefault="00344018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r w:rsidRPr="001D4CCA">
            <w:rPr>
              <w:rFonts w:cs="Times New Roman"/>
              <w:sz w:val="22"/>
              <w:szCs w:val="22"/>
            </w:rPr>
            <w:fldChar w:fldCharType="begin"/>
          </w:r>
          <w:r w:rsidRPr="001D4CCA">
            <w:rPr>
              <w:rFonts w:cs="Times New Roman"/>
              <w:sz w:val="22"/>
              <w:szCs w:val="22"/>
            </w:rPr>
            <w:instrText xml:space="preserve"> TOC \o "1-3" \h \z \u </w:instrText>
          </w:r>
          <w:r w:rsidRPr="001D4CCA">
            <w:rPr>
              <w:rFonts w:cs="Times New Roman"/>
              <w:sz w:val="22"/>
              <w:szCs w:val="22"/>
            </w:rPr>
            <w:fldChar w:fldCharType="separate"/>
          </w:r>
          <w:hyperlink w:anchor="_Toc194405786" w:history="1">
            <w:r w:rsidR="00DE010A" w:rsidRPr="001D4CCA">
              <w:rPr>
                <w:rStyle w:val="Hipercze"/>
                <w:bCs/>
                <w:noProof/>
                <w:color w:val="auto"/>
              </w:rPr>
              <w:t>1.</w:t>
            </w:r>
            <w:r w:rsidR="00DE010A" w:rsidRPr="001D4CCA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E010A" w:rsidRPr="001D4CCA">
              <w:rPr>
                <w:rStyle w:val="Hipercze"/>
                <w:noProof/>
                <w:color w:val="auto"/>
              </w:rPr>
              <w:t xml:space="preserve">Założenia </w:t>
            </w:r>
            <w:r w:rsidR="00DE010A" w:rsidRPr="001D4CCA">
              <w:rPr>
                <w:rStyle w:val="Hipercze"/>
                <w:rFonts w:cs="Times New Roman"/>
                <w:noProof/>
                <w:color w:val="auto"/>
              </w:rPr>
              <w:t>funkcjonalne</w:t>
            </w:r>
            <w:r w:rsidR="00DE010A" w:rsidRPr="001D4CCA">
              <w:rPr>
                <w:rStyle w:val="Hipercze"/>
                <w:noProof/>
                <w:color w:val="auto"/>
              </w:rPr>
              <w:t xml:space="preserve"> integracji skanera z oferowanym systemem klasy LIS:</w:t>
            </w:r>
            <w:r w:rsidR="00DE010A" w:rsidRPr="001D4CCA">
              <w:rPr>
                <w:noProof/>
                <w:webHidden/>
              </w:rPr>
              <w:tab/>
            </w:r>
            <w:r w:rsidR="00DE010A" w:rsidRPr="001D4CCA">
              <w:rPr>
                <w:noProof/>
                <w:webHidden/>
              </w:rPr>
              <w:fldChar w:fldCharType="begin"/>
            </w:r>
            <w:r w:rsidR="00DE010A" w:rsidRPr="001D4CCA">
              <w:rPr>
                <w:noProof/>
                <w:webHidden/>
              </w:rPr>
              <w:instrText xml:space="preserve"> PAGEREF _Toc194405786 \h </w:instrText>
            </w:r>
            <w:r w:rsidR="00DE010A" w:rsidRPr="001D4CCA">
              <w:rPr>
                <w:noProof/>
                <w:webHidden/>
              </w:rPr>
            </w:r>
            <w:r w:rsidR="00DE010A" w:rsidRPr="001D4CCA">
              <w:rPr>
                <w:noProof/>
                <w:webHidden/>
              </w:rPr>
              <w:fldChar w:fldCharType="separate"/>
            </w:r>
            <w:r w:rsidR="00DE010A" w:rsidRPr="001D4CCA">
              <w:rPr>
                <w:noProof/>
                <w:webHidden/>
              </w:rPr>
              <w:t>2</w:t>
            </w:r>
            <w:r w:rsidR="00DE010A" w:rsidRPr="001D4CCA">
              <w:rPr>
                <w:noProof/>
                <w:webHidden/>
              </w:rPr>
              <w:fldChar w:fldCharType="end"/>
            </w:r>
          </w:hyperlink>
        </w:p>
        <w:p w14:paraId="58BDFC98" w14:textId="581AD1D7" w:rsidR="00DE010A" w:rsidRPr="001D4CCA" w:rsidRDefault="00F00316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405787" w:history="1">
            <w:r w:rsidR="00DE010A" w:rsidRPr="001D4CCA">
              <w:rPr>
                <w:rStyle w:val="Hipercze"/>
                <w:rFonts w:cs="Times New Roman"/>
                <w:bCs/>
                <w:noProof/>
                <w:color w:val="auto"/>
              </w:rPr>
              <w:t>2.</w:t>
            </w:r>
            <w:r w:rsidR="00DE010A" w:rsidRPr="001D4CCA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E010A" w:rsidRPr="001D4CCA">
              <w:rPr>
                <w:rStyle w:val="Hipercze"/>
                <w:rFonts w:cs="Times New Roman"/>
                <w:noProof/>
                <w:color w:val="auto"/>
              </w:rPr>
              <w:t>Funkcjonalności dotyczące wyświetlania skanów w oferowanym systemie</w:t>
            </w:r>
            <w:r w:rsidR="00DE010A" w:rsidRPr="001D4CCA">
              <w:rPr>
                <w:noProof/>
                <w:webHidden/>
              </w:rPr>
              <w:tab/>
            </w:r>
            <w:r w:rsidR="00DE010A" w:rsidRPr="001D4CCA">
              <w:rPr>
                <w:noProof/>
                <w:webHidden/>
              </w:rPr>
              <w:fldChar w:fldCharType="begin"/>
            </w:r>
            <w:r w:rsidR="00DE010A" w:rsidRPr="001D4CCA">
              <w:rPr>
                <w:noProof/>
                <w:webHidden/>
              </w:rPr>
              <w:instrText xml:space="preserve"> PAGEREF _Toc194405787 \h </w:instrText>
            </w:r>
            <w:r w:rsidR="00DE010A" w:rsidRPr="001D4CCA">
              <w:rPr>
                <w:noProof/>
                <w:webHidden/>
              </w:rPr>
            </w:r>
            <w:r w:rsidR="00DE010A" w:rsidRPr="001D4CCA">
              <w:rPr>
                <w:noProof/>
                <w:webHidden/>
              </w:rPr>
              <w:fldChar w:fldCharType="separate"/>
            </w:r>
            <w:r w:rsidR="00DE010A" w:rsidRPr="001D4CCA">
              <w:rPr>
                <w:noProof/>
                <w:webHidden/>
              </w:rPr>
              <w:t>2</w:t>
            </w:r>
            <w:r w:rsidR="00DE010A" w:rsidRPr="001D4CCA">
              <w:rPr>
                <w:noProof/>
                <w:webHidden/>
              </w:rPr>
              <w:fldChar w:fldCharType="end"/>
            </w:r>
          </w:hyperlink>
        </w:p>
        <w:p w14:paraId="0B902C03" w14:textId="4D7468AE" w:rsidR="00DE010A" w:rsidRPr="001D4CCA" w:rsidRDefault="00F00316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405788" w:history="1">
            <w:r w:rsidR="00DE010A" w:rsidRPr="001D4CCA">
              <w:rPr>
                <w:rStyle w:val="Hipercze"/>
                <w:rFonts w:cs="Times New Roman"/>
                <w:bCs/>
                <w:noProof/>
                <w:color w:val="auto"/>
              </w:rPr>
              <w:t>3.</w:t>
            </w:r>
            <w:r w:rsidR="00DE010A" w:rsidRPr="001D4CCA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E010A" w:rsidRPr="001D4CCA">
              <w:rPr>
                <w:rStyle w:val="Hipercze"/>
                <w:rFonts w:cs="Times New Roman"/>
                <w:noProof/>
                <w:color w:val="auto"/>
              </w:rPr>
              <w:t>Funkcjonalność analizy obrazu z elementami sztucznej inteligencji</w:t>
            </w:r>
            <w:r w:rsidR="00DE010A" w:rsidRPr="001D4CCA">
              <w:rPr>
                <w:noProof/>
                <w:webHidden/>
              </w:rPr>
              <w:tab/>
            </w:r>
            <w:r w:rsidR="00DE010A" w:rsidRPr="001D4CCA">
              <w:rPr>
                <w:noProof/>
                <w:webHidden/>
              </w:rPr>
              <w:fldChar w:fldCharType="begin"/>
            </w:r>
            <w:r w:rsidR="00DE010A" w:rsidRPr="001D4CCA">
              <w:rPr>
                <w:noProof/>
                <w:webHidden/>
              </w:rPr>
              <w:instrText xml:space="preserve"> PAGEREF _Toc194405788 \h </w:instrText>
            </w:r>
            <w:r w:rsidR="00DE010A" w:rsidRPr="001D4CCA">
              <w:rPr>
                <w:noProof/>
                <w:webHidden/>
              </w:rPr>
            </w:r>
            <w:r w:rsidR="00DE010A" w:rsidRPr="001D4CCA">
              <w:rPr>
                <w:noProof/>
                <w:webHidden/>
              </w:rPr>
              <w:fldChar w:fldCharType="separate"/>
            </w:r>
            <w:r w:rsidR="00DE010A" w:rsidRPr="001D4CCA">
              <w:rPr>
                <w:noProof/>
                <w:webHidden/>
              </w:rPr>
              <w:t>3</w:t>
            </w:r>
            <w:r w:rsidR="00DE010A" w:rsidRPr="001D4CCA">
              <w:rPr>
                <w:noProof/>
                <w:webHidden/>
              </w:rPr>
              <w:fldChar w:fldCharType="end"/>
            </w:r>
          </w:hyperlink>
        </w:p>
        <w:p w14:paraId="34F52BEF" w14:textId="73234D06" w:rsidR="00DE010A" w:rsidRPr="001D4CCA" w:rsidRDefault="00F00316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405789" w:history="1">
            <w:r w:rsidR="00DE010A" w:rsidRPr="001D4CCA">
              <w:rPr>
                <w:rStyle w:val="Hipercze"/>
                <w:rFonts w:cs="Times New Roman"/>
                <w:bCs/>
                <w:noProof/>
                <w:color w:val="auto"/>
              </w:rPr>
              <w:t>4.</w:t>
            </w:r>
            <w:r w:rsidR="00DE010A" w:rsidRPr="001D4CCA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E010A" w:rsidRPr="001D4CCA">
              <w:rPr>
                <w:rStyle w:val="Hipercze"/>
                <w:rFonts w:cs="Times New Roman"/>
                <w:noProof/>
                <w:color w:val="auto"/>
              </w:rPr>
              <w:t>Przechowywanie skanów otrzymywanych ze skanera</w:t>
            </w:r>
            <w:r w:rsidR="00DE010A" w:rsidRPr="001D4CCA">
              <w:rPr>
                <w:noProof/>
                <w:webHidden/>
              </w:rPr>
              <w:tab/>
            </w:r>
            <w:r w:rsidR="00DE010A" w:rsidRPr="001D4CCA">
              <w:rPr>
                <w:noProof/>
                <w:webHidden/>
              </w:rPr>
              <w:fldChar w:fldCharType="begin"/>
            </w:r>
            <w:r w:rsidR="00DE010A" w:rsidRPr="001D4CCA">
              <w:rPr>
                <w:noProof/>
                <w:webHidden/>
              </w:rPr>
              <w:instrText xml:space="preserve"> PAGEREF _Toc194405789 \h </w:instrText>
            </w:r>
            <w:r w:rsidR="00DE010A" w:rsidRPr="001D4CCA">
              <w:rPr>
                <w:noProof/>
                <w:webHidden/>
              </w:rPr>
            </w:r>
            <w:r w:rsidR="00DE010A" w:rsidRPr="001D4CCA">
              <w:rPr>
                <w:noProof/>
                <w:webHidden/>
              </w:rPr>
              <w:fldChar w:fldCharType="separate"/>
            </w:r>
            <w:r w:rsidR="00DE010A" w:rsidRPr="001D4CCA">
              <w:rPr>
                <w:noProof/>
                <w:webHidden/>
              </w:rPr>
              <w:t>4</w:t>
            </w:r>
            <w:r w:rsidR="00DE010A" w:rsidRPr="001D4CCA">
              <w:rPr>
                <w:noProof/>
                <w:webHidden/>
              </w:rPr>
              <w:fldChar w:fldCharType="end"/>
            </w:r>
          </w:hyperlink>
        </w:p>
        <w:p w14:paraId="3CA3362F" w14:textId="67109D74" w:rsidR="00DE010A" w:rsidRPr="001D4CCA" w:rsidRDefault="00F00316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405790" w:history="1">
            <w:r w:rsidR="00DE010A" w:rsidRPr="001D4CCA">
              <w:rPr>
                <w:rStyle w:val="Hipercze"/>
                <w:rFonts w:cs="Times New Roman"/>
                <w:bCs/>
                <w:noProof/>
                <w:color w:val="auto"/>
              </w:rPr>
              <w:t>5.</w:t>
            </w:r>
            <w:r w:rsidR="00DE010A" w:rsidRPr="001D4CCA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E010A" w:rsidRPr="001D4CCA">
              <w:rPr>
                <w:rStyle w:val="Hipercze"/>
                <w:rFonts w:cs="Times New Roman"/>
                <w:noProof/>
                <w:color w:val="auto"/>
              </w:rPr>
              <w:t>Integracja ze skanerem histologicznym</w:t>
            </w:r>
            <w:r w:rsidR="00DE010A" w:rsidRPr="001D4CCA">
              <w:rPr>
                <w:noProof/>
                <w:webHidden/>
              </w:rPr>
              <w:tab/>
            </w:r>
            <w:r w:rsidR="00DE010A" w:rsidRPr="001D4CCA">
              <w:rPr>
                <w:noProof/>
                <w:webHidden/>
              </w:rPr>
              <w:fldChar w:fldCharType="begin"/>
            </w:r>
            <w:r w:rsidR="00DE010A" w:rsidRPr="001D4CCA">
              <w:rPr>
                <w:noProof/>
                <w:webHidden/>
              </w:rPr>
              <w:instrText xml:space="preserve"> PAGEREF _Toc194405790 \h </w:instrText>
            </w:r>
            <w:r w:rsidR="00DE010A" w:rsidRPr="001D4CCA">
              <w:rPr>
                <w:noProof/>
                <w:webHidden/>
              </w:rPr>
            </w:r>
            <w:r w:rsidR="00DE010A" w:rsidRPr="001D4CCA">
              <w:rPr>
                <w:noProof/>
                <w:webHidden/>
              </w:rPr>
              <w:fldChar w:fldCharType="separate"/>
            </w:r>
            <w:r w:rsidR="00DE010A" w:rsidRPr="001D4CCA">
              <w:rPr>
                <w:noProof/>
                <w:webHidden/>
              </w:rPr>
              <w:t>5</w:t>
            </w:r>
            <w:r w:rsidR="00DE010A" w:rsidRPr="001D4CCA">
              <w:rPr>
                <w:noProof/>
                <w:webHidden/>
              </w:rPr>
              <w:fldChar w:fldCharType="end"/>
            </w:r>
          </w:hyperlink>
        </w:p>
        <w:p w14:paraId="01B227FA" w14:textId="5C62720E" w:rsidR="00344018" w:rsidRPr="001D4CCA" w:rsidRDefault="00344018" w:rsidP="009414A0">
          <w:pPr>
            <w:jc w:val="both"/>
            <w:rPr>
              <w:rFonts w:cs="Times New Roman"/>
              <w:sz w:val="22"/>
              <w:szCs w:val="22"/>
            </w:rPr>
          </w:pPr>
          <w:r w:rsidRPr="001D4CCA">
            <w:rPr>
              <w:rFonts w:cs="Times New Roman"/>
              <w:b/>
              <w:bCs/>
              <w:sz w:val="22"/>
              <w:szCs w:val="22"/>
            </w:rPr>
            <w:fldChar w:fldCharType="end"/>
          </w:r>
        </w:p>
      </w:sdtContent>
    </w:sdt>
    <w:p w14:paraId="1D07E201" w14:textId="5DBB899F" w:rsidR="00344018" w:rsidRPr="001D4CCA" w:rsidRDefault="00344018" w:rsidP="009414A0">
      <w:pPr>
        <w:jc w:val="both"/>
        <w:rPr>
          <w:rFonts w:cs="Times New Roman"/>
          <w:b/>
          <w:bCs/>
          <w:sz w:val="22"/>
          <w:szCs w:val="22"/>
        </w:rPr>
      </w:pPr>
      <w:r w:rsidRPr="001D4CCA">
        <w:rPr>
          <w:rFonts w:cs="Times New Roman"/>
          <w:b/>
          <w:bCs/>
          <w:sz w:val="22"/>
          <w:szCs w:val="22"/>
        </w:rPr>
        <w:br w:type="page"/>
      </w:r>
    </w:p>
    <w:p w14:paraId="1EBB820B" w14:textId="33DE78C6" w:rsidR="00B828A3" w:rsidRPr="001D4CCA" w:rsidRDefault="00C3056F" w:rsidP="00BE3068">
      <w:pPr>
        <w:pStyle w:val="Nagwek1"/>
        <w:numPr>
          <w:ilvl w:val="0"/>
          <w:numId w:val="13"/>
        </w:numPr>
        <w:rPr>
          <w:color w:val="auto"/>
        </w:rPr>
      </w:pPr>
      <w:bookmarkStart w:id="1" w:name="_Toc194405786"/>
      <w:r w:rsidRPr="001D4CCA">
        <w:rPr>
          <w:color w:val="auto"/>
        </w:rPr>
        <w:lastRenderedPageBreak/>
        <w:t xml:space="preserve">Założenia </w:t>
      </w:r>
      <w:r w:rsidRPr="001D4CCA">
        <w:rPr>
          <w:rFonts w:cs="Times New Roman"/>
          <w:color w:val="auto"/>
          <w:sz w:val="22"/>
          <w:szCs w:val="22"/>
        </w:rPr>
        <w:t>funkcjonalne</w:t>
      </w:r>
      <w:r w:rsidRPr="001D4CCA">
        <w:rPr>
          <w:color w:val="auto"/>
        </w:rPr>
        <w:t xml:space="preserve"> integracji skanera z oferowanym systemem klasy LIS</w:t>
      </w:r>
      <w:r w:rsidR="00AB3FCA" w:rsidRPr="001D4CCA">
        <w:rPr>
          <w:color w:val="auto"/>
        </w:rPr>
        <w:t>:</w:t>
      </w:r>
      <w:bookmarkEnd w:id="1"/>
    </w:p>
    <w:p w14:paraId="48CFE98D" w14:textId="77777777" w:rsidR="00AB3FCA" w:rsidRPr="001D4CCA" w:rsidRDefault="00AB3FCA" w:rsidP="00AB3FCA"/>
    <w:p w14:paraId="44975A17" w14:textId="3CDFF1B7" w:rsidR="00523F34" w:rsidRPr="001D4CCA" w:rsidRDefault="00C3056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Automatyczny import zeskanowanych preparatów ze skanera do oferowanego systemu wraz z przechowywaniem skanów na wskazanym serwerze</w:t>
      </w:r>
      <w:r w:rsidR="003E20E5" w:rsidRPr="001D4CCA">
        <w:rPr>
          <w:rFonts w:cs="Times New Roman"/>
          <w:sz w:val="22"/>
          <w:szCs w:val="22"/>
        </w:rPr>
        <w:t>.</w:t>
      </w:r>
    </w:p>
    <w:p w14:paraId="1FD8C943" w14:textId="0DFF8AE8" w:rsidR="00F96F2F" w:rsidRPr="001D4CCA" w:rsidRDefault="00C3056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wykonania powtórnego skanu danego preparatu (np. w przypadku niedostatecznej jakości technicznej lub przy zastosowaniu innych parametrów skanowania) z zachowaniem poprzedniej wersji skanu</w:t>
      </w:r>
      <w:r w:rsidRPr="001D4CCA">
        <w:rPr>
          <w:rFonts w:cs="Times New Roman"/>
          <w:sz w:val="22"/>
          <w:szCs w:val="22"/>
        </w:rPr>
        <w:t>.</w:t>
      </w:r>
    </w:p>
    <w:p w14:paraId="2557E4FA" w14:textId="44A63063" w:rsidR="00C3056F" w:rsidRPr="001D4CCA" w:rsidRDefault="00C3056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Integracja umożliwia wyświetlanie skanu preparatu w systemie LIS w kontekście tego preparatu, bez konieczności powtórnego logowania się użytkownika i stosowania dodatkowych aplikacji.</w:t>
      </w:r>
    </w:p>
    <w:p w14:paraId="321420CC" w14:textId="2FA61D27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Kontrola dostępu do preparatów zgodnie z uprawnieniami użytkownika w systemie LIS.</w:t>
      </w:r>
    </w:p>
    <w:p w14:paraId="51BF4000" w14:textId="0A91EEF7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Obsługa zleceń skanowania preparatów z obsługą komentarzy i wyboru powiększenia (o ile skaner posiada taką możliwość). Opcjonalna notyfikacja zlecającego po uzyskaniu dostępności skanu ze skanera, jeżeli osoba zlecająca skan zaznaczy taką opcję.</w:t>
      </w:r>
    </w:p>
    <w:p w14:paraId="78AC71AD" w14:textId="760C43B3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Obsługa miniaturek (</w:t>
      </w:r>
      <w:proofErr w:type="spellStart"/>
      <w:r w:rsidRPr="001D4CCA">
        <w:rPr>
          <w:rFonts w:cs="Times New Roman"/>
          <w:sz w:val="22"/>
          <w:szCs w:val="22"/>
        </w:rPr>
        <w:t>thumbnails</w:t>
      </w:r>
      <w:proofErr w:type="spellEnd"/>
      <w:r w:rsidRPr="001D4CCA">
        <w:rPr>
          <w:rFonts w:cs="Times New Roman"/>
          <w:sz w:val="22"/>
          <w:szCs w:val="22"/>
        </w:rPr>
        <w:t>) zeskanowanych preparatów prezentowanych w kontekście preparatów w systemie LIS. Miniaturki są widoczne w systemie, tworząc „wirtualną teczkę” patomorfologa.</w:t>
      </w:r>
    </w:p>
    <w:p w14:paraId="230BBB56" w14:textId="6C757392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Obsługa zapobiegania usunięciu istotnych („ważnych”) skanów, a także automatyczne zarządzanie retencją danych - usuwanie skanów po określonym czasie od autoryzacji przypadku</w:t>
      </w:r>
    </w:p>
    <w:p w14:paraId="4D1E3D1A" w14:textId="18B3EF9B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Automatyczne umieszczanie skanów (oparte o kod kreskowy w polu opisowym preparatu) w kontekście odpowiedniego preparatu, również</w:t>
      </w:r>
      <w:r w:rsidR="00F7469B" w:rsidRPr="001D4CCA">
        <w:rPr>
          <w:rFonts w:cs="Times New Roman"/>
          <w:bCs/>
          <w:sz w:val="22"/>
          <w:szCs w:val="22"/>
        </w:rPr>
        <w:t>,</w:t>
      </w:r>
      <w:r w:rsidRPr="001D4CCA">
        <w:rPr>
          <w:rFonts w:cs="Times New Roman"/>
          <w:bCs/>
          <w:sz w:val="22"/>
          <w:szCs w:val="22"/>
        </w:rPr>
        <w:t xml:space="preserve"> gdy diagnozujący nie wystawi zlecenia skanowania.</w:t>
      </w:r>
    </w:p>
    <w:p w14:paraId="66B79E36" w14:textId="5CDDDEB9" w:rsidR="002428FF" w:rsidRPr="001D4CCA" w:rsidRDefault="002428FF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Powiadomienie osoby zlecającej skan poprzez komunikat systemowy po uzyskaniu dostępności skanu ze skanera (jeżeli w zleceniu skanowania osoba zlecająca oznaczy taką opcję).</w:t>
      </w:r>
    </w:p>
    <w:p w14:paraId="7CB98E13" w14:textId="4494BBAD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dostępna jednocześnie dla min. 20 stanowisk diagnozujących.</w:t>
      </w:r>
    </w:p>
    <w:p w14:paraId="1DF1FF6A" w14:textId="37ADB8BA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Możliwość obsługi wielu serwerów skanów przez jedna aplikację.</w:t>
      </w:r>
    </w:p>
    <w:p w14:paraId="452254BD" w14:textId="1A0719D2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nie jest ograniczona czasowo lub liczbą preparatów (jedynym ograniczeniem na liczbę preparatów jest pojemność przestrzeni dyskowej w oferowanym rozwiązaniu).</w:t>
      </w:r>
    </w:p>
    <w:p w14:paraId="0A355A0A" w14:textId="6A16608F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Rozbudowana wyszukiwarka, umożliwiająca odnalezienie skanu po wielu kryteriach (m.in. typu skanu, kodu kreskowego, dat, numerów preparatu/bloczka/materiału/przypadku, lokalizacji anatomicznej, przypisanych znaczników, skanerów, a także treści wpisanych w komentarzach adnotacji).</w:t>
      </w:r>
    </w:p>
    <w:p w14:paraId="4F23FC00" w14:textId="2FA058CB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Interfejs użytkownika w języku polskim i angielskim.</w:t>
      </w:r>
    </w:p>
    <w:p w14:paraId="539CA6C8" w14:textId="026D58EA" w:rsidR="00324EE7" w:rsidRPr="001D4CCA" w:rsidRDefault="00324EE7" w:rsidP="0006659A">
      <w:pPr>
        <w:pStyle w:val="Akapitzlist"/>
        <w:numPr>
          <w:ilvl w:val="1"/>
          <w:numId w:val="13"/>
        </w:numPr>
        <w:ind w:left="426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 xml:space="preserve">Wsparcie techniczne – min. </w:t>
      </w:r>
      <w:r w:rsidR="00B00735" w:rsidRPr="001D4CCA">
        <w:rPr>
          <w:rFonts w:cs="Times New Roman"/>
          <w:bCs/>
          <w:sz w:val="22"/>
          <w:szCs w:val="22"/>
        </w:rPr>
        <w:t>36</w:t>
      </w:r>
      <w:r w:rsidRPr="001D4CCA">
        <w:rPr>
          <w:rFonts w:cs="Times New Roman"/>
          <w:bCs/>
          <w:sz w:val="22"/>
          <w:szCs w:val="22"/>
        </w:rPr>
        <w:t xml:space="preserve"> miesięcy</w:t>
      </w:r>
      <w:r w:rsidR="00B00735" w:rsidRPr="001D4CCA">
        <w:rPr>
          <w:rFonts w:cs="Times New Roman"/>
          <w:bCs/>
          <w:sz w:val="22"/>
          <w:szCs w:val="22"/>
        </w:rPr>
        <w:t>.</w:t>
      </w:r>
    </w:p>
    <w:p w14:paraId="6EA6AE5B" w14:textId="5CE6BB3A" w:rsidR="009E4757" w:rsidRPr="001D4CCA" w:rsidRDefault="00324EE7" w:rsidP="009A6A8E">
      <w:pPr>
        <w:pStyle w:val="Nagwek1"/>
        <w:numPr>
          <w:ilvl w:val="0"/>
          <w:numId w:val="13"/>
        </w:numPr>
        <w:rPr>
          <w:rFonts w:cs="Times New Roman"/>
          <w:color w:val="auto"/>
          <w:sz w:val="22"/>
          <w:szCs w:val="22"/>
        </w:rPr>
      </w:pPr>
      <w:bookmarkStart w:id="2" w:name="_Toc194405787"/>
      <w:r w:rsidRPr="001D4CCA">
        <w:rPr>
          <w:rFonts w:cs="Times New Roman"/>
          <w:color w:val="auto"/>
          <w:sz w:val="22"/>
          <w:szCs w:val="22"/>
        </w:rPr>
        <w:t>Funkcjonalności dotyczące wyświetlania skanów w oferowanym systemie</w:t>
      </w:r>
      <w:bookmarkEnd w:id="2"/>
    </w:p>
    <w:p w14:paraId="1047210F" w14:textId="77777777" w:rsidR="0006659A" w:rsidRPr="001D4CCA" w:rsidRDefault="0006659A" w:rsidP="0006659A">
      <w:pPr>
        <w:rPr>
          <w:rFonts w:cs="Times New Roman"/>
          <w:sz w:val="22"/>
          <w:szCs w:val="22"/>
        </w:rPr>
      </w:pPr>
    </w:p>
    <w:p w14:paraId="0B7BD30C" w14:textId="0EE20873" w:rsidR="009E4757" w:rsidRPr="001D4CCA" w:rsidRDefault="00324EE7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 xml:space="preserve">Możliwość tworzenia, edycji i usuwania komentarzy (adnotacji) bezpośrednio na skanie preparatu, w celu np. oznaczenia rejonu (tzw. ROI - region of </w:t>
      </w:r>
      <w:proofErr w:type="spellStart"/>
      <w:r w:rsidRPr="001D4CCA">
        <w:rPr>
          <w:rFonts w:cs="Times New Roman"/>
          <w:sz w:val="22"/>
          <w:szCs w:val="22"/>
        </w:rPr>
        <w:t>interest</w:t>
      </w:r>
      <w:proofErr w:type="spellEnd"/>
      <w:r w:rsidRPr="001D4CCA">
        <w:rPr>
          <w:rFonts w:cs="Times New Roman"/>
          <w:sz w:val="22"/>
          <w:szCs w:val="22"/>
        </w:rPr>
        <w:t>) do konsultacji innego patomorfologa. Adnotacje w kształcie: prostokąta, okręgu, okręgu o powierzchni 1mm2, linii oraz punktów o 3 kolorach (czerwony, zielony, niebieski).</w:t>
      </w:r>
    </w:p>
    <w:p w14:paraId="6C8CA752" w14:textId="77777777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Funkcjonalności zaznaczania adnotacji na skanie:</w:t>
      </w:r>
    </w:p>
    <w:p w14:paraId="283D0B57" w14:textId="3F3A5A41" w:rsidR="00324EE7" w:rsidRPr="001D4CCA" w:rsidRDefault="00324EE7" w:rsidP="00324EE7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 xml:space="preserve">Możliwość tworzenia, edycji i usuwania komentarzy (adnotacji) bezpośrednio na skanie preparatu, w celu np. oznaczenia rejonu (tzw. ROI - region of </w:t>
      </w:r>
      <w:proofErr w:type="spellStart"/>
      <w:r w:rsidRPr="001D4CCA">
        <w:rPr>
          <w:rFonts w:cs="Times New Roman"/>
          <w:bCs/>
          <w:sz w:val="22"/>
          <w:szCs w:val="22"/>
        </w:rPr>
        <w:t>interest</w:t>
      </w:r>
      <w:proofErr w:type="spellEnd"/>
      <w:r w:rsidRPr="001D4CCA">
        <w:rPr>
          <w:rFonts w:cs="Times New Roman"/>
          <w:bCs/>
          <w:sz w:val="22"/>
          <w:szCs w:val="22"/>
        </w:rPr>
        <w:t>) do konsultacji innego patomorfologa. Adnotacje w kształcie: prostokąta, okręgu, linii, wielokąta, punktów o 3 kolorach oraz swobodnie rysowanego kształtu (</w:t>
      </w:r>
      <w:proofErr w:type="spellStart"/>
      <w:r w:rsidRPr="001D4CCA">
        <w:rPr>
          <w:rFonts w:cs="Times New Roman"/>
          <w:bCs/>
          <w:sz w:val="22"/>
          <w:szCs w:val="22"/>
        </w:rPr>
        <w:t>freehand</w:t>
      </w:r>
      <w:proofErr w:type="spellEnd"/>
      <w:r w:rsidRPr="001D4CCA">
        <w:rPr>
          <w:rFonts w:cs="Times New Roman"/>
          <w:bCs/>
          <w:sz w:val="22"/>
          <w:szCs w:val="22"/>
        </w:rPr>
        <w:t>).</w:t>
      </w:r>
    </w:p>
    <w:p w14:paraId="061A51FD" w14:textId="1954FE9D" w:rsidR="00324EE7" w:rsidRPr="001D4CCA" w:rsidRDefault="00324EE7" w:rsidP="00324EE7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rysowania adnotacji w kształcie okręgu o predefiniowanej powierzchni 1mm2, umożliwiającej pomiary i zliczanie komórek w standaryzowanej powierzchni.</w:t>
      </w:r>
    </w:p>
    <w:p w14:paraId="142FD681" w14:textId="75ED974C" w:rsidR="00324EE7" w:rsidRPr="001D4CCA" w:rsidRDefault="00324EE7" w:rsidP="00324EE7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lastRenderedPageBreak/>
        <w:t>Każda z adnotacji może być oznaczona konfigurowanymi znacznikami, umożliwiając późniejsze wyszukiwanie interesujących obszarów.</w:t>
      </w:r>
    </w:p>
    <w:p w14:paraId="255E6CCB" w14:textId="1C931A85" w:rsidR="00324EE7" w:rsidRPr="001D4CCA" w:rsidRDefault="00324EE7" w:rsidP="00324EE7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Do każdej z adnotacji można dodać nieograniczoną liczbę komentarzy, tworząc czat między osobami diagnozującymi preparat.</w:t>
      </w:r>
    </w:p>
    <w:p w14:paraId="360D3C30" w14:textId="77777777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 xml:space="preserve">Obsługa tzw. </w:t>
      </w:r>
      <w:proofErr w:type="spellStart"/>
      <w:r w:rsidRPr="001D4CCA">
        <w:rPr>
          <w:rFonts w:cs="Times New Roman"/>
          <w:bCs/>
          <w:sz w:val="22"/>
          <w:szCs w:val="22"/>
        </w:rPr>
        <w:t>snapshotów</w:t>
      </w:r>
      <w:proofErr w:type="spellEnd"/>
      <w:r w:rsidRPr="001D4CCA">
        <w:rPr>
          <w:rFonts w:cs="Times New Roman"/>
          <w:bCs/>
          <w:sz w:val="22"/>
          <w:szCs w:val="22"/>
        </w:rPr>
        <w:t xml:space="preserve"> – tworzenie obrazów w niskiej rozdzielczości (to co widzimy aktualnie na ekranie, w aktualnym położeniu i powiększeniu) i przesyłanie takiego pliku obrazu w formacie JPG jako załącznik w kontekście preparatu w oferowanym systemie.</w:t>
      </w:r>
    </w:p>
    <w:p w14:paraId="51D6952B" w14:textId="77777777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pracy poprzez łącza internetowe o niewielkiej przepustowości (np. sieć komórkowa).</w:t>
      </w:r>
    </w:p>
    <w:p w14:paraId="4A8328A6" w14:textId="7E75C9E9" w:rsidR="009E475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przybliżania i oddalania (zoom) – zmiany powiększenia.</w:t>
      </w:r>
    </w:p>
    <w:p w14:paraId="4ED80D83" w14:textId="4FD7DA41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przesuwania obrazu przy danym powiększeniu (pan).</w:t>
      </w:r>
    </w:p>
    <w:p w14:paraId="085E7577" w14:textId="12D75777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obrotu skanu o wybrany przez użytkownika kąt.</w:t>
      </w:r>
    </w:p>
    <w:p w14:paraId="2FBFD767" w14:textId="18CCE021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wyświetlania obrazu pola opisowego preparatu wraz z kodem kreskowym oraz danymi materiału, lokalizacji, bloczka i protokołu barwienia (pobranego z systemu LIS na podstawie kodu kreskowego).</w:t>
      </w:r>
    </w:p>
    <w:p w14:paraId="0ED2058C" w14:textId="4EBA5FAC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nawigatora prezentującego pomniejszony obraz skanu i miejsce, w którym aktualnie się znajdujemy. Automatyczne oznaczanie innym kolorem tła w okienku nawigatora już obejrzanych powierzchni skanu.</w:t>
      </w:r>
    </w:p>
    <w:p w14:paraId="770ADC63" w14:textId="64DE45C5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pomiarów liniowych obrazu (określenia realnej odległości w mikrometrach/milimetrach między dwoma punktami wskazanymi przez użytkownika), a także mierzenia powierzchni adnotacji w kształcie prostokąta, wielokąta, okręgu i swobodnego zaznaczania (</w:t>
      </w:r>
      <w:proofErr w:type="spellStart"/>
      <w:r w:rsidRPr="001D4CCA">
        <w:rPr>
          <w:rFonts w:cs="Times New Roman"/>
          <w:bCs/>
          <w:sz w:val="22"/>
          <w:szCs w:val="22"/>
        </w:rPr>
        <w:t>freehand</w:t>
      </w:r>
      <w:proofErr w:type="spellEnd"/>
      <w:r w:rsidRPr="001D4CCA">
        <w:rPr>
          <w:rFonts w:cs="Times New Roman"/>
          <w:bCs/>
          <w:sz w:val="22"/>
          <w:szCs w:val="22"/>
        </w:rPr>
        <w:t>).</w:t>
      </w:r>
    </w:p>
    <w:p w14:paraId="11CEC1E9" w14:textId="44C185E5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wyświetlania skali (odcinka o wzorcowej długości) dla każdego z powiększeń.</w:t>
      </w:r>
    </w:p>
    <w:p w14:paraId="6C380056" w14:textId="0D8C2789" w:rsidR="00324EE7" w:rsidRPr="001D4CCA" w:rsidRDefault="00324EE7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Funkcja pracy synchronicznej kilku osób na tym samym skanie. Jedna z osób (prowadząca prezentację lub konsultant) dokonuje przeglądania preparatu, a u pozostałych osób powiększenie i pole widzenia zmienia się synchronicznie i widzą to samo, co osoba prowadząca.</w:t>
      </w:r>
    </w:p>
    <w:p w14:paraId="42FE35E6" w14:textId="3F99EDB8" w:rsidR="00324EE7" w:rsidRPr="001D4CCA" w:rsidRDefault="002A3368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Funkcjonalność zliczania dodanych punktów jako adnotacji w zaznaczonym obrazie oraz sumowania ich liczby oraz ilorazów (tzw. ratio).</w:t>
      </w:r>
    </w:p>
    <w:p w14:paraId="7F3CE4BA" w14:textId="1E16B6E5" w:rsidR="002A3368" w:rsidRPr="001D4CCA" w:rsidRDefault="002A3368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indywidualnego dostosowania kolorystyki skanów, osobno dla każdego użytkownika i zintegrowanego skanera w zakresie: jasności, nasycenia, współczynnika gamma oraz balansu kolorów RGB.</w:t>
      </w:r>
    </w:p>
    <w:p w14:paraId="7EBA8139" w14:textId="7370ADFB" w:rsidR="002A3368" w:rsidRPr="001D4CCA" w:rsidRDefault="002A3368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indywidualnego włączenia interpretacji profili kolorystycznych ICC zawartych w skanach dostarczanych przez kompatybilne skanery.</w:t>
      </w:r>
    </w:p>
    <w:p w14:paraId="67B6C326" w14:textId="1B4FF89A" w:rsidR="002A3368" w:rsidRPr="001D4CCA" w:rsidRDefault="002A3368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domyślnego obrotu obrazu preparatu w zależności od źródła skanu.</w:t>
      </w:r>
    </w:p>
    <w:p w14:paraId="4CF4E7F9" w14:textId="7A4626A3" w:rsidR="002A3368" w:rsidRPr="001D4CCA" w:rsidRDefault="002A3368" w:rsidP="00324EE7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Możliwość konfiguracji automatycznego obliczana maski segmentującej dla każdego skanera.</w:t>
      </w:r>
    </w:p>
    <w:p w14:paraId="24BB3A5A" w14:textId="7CEDE2B7" w:rsidR="009E4757" w:rsidRPr="001D4CCA" w:rsidRDefault="002A3368" w:rsidP="009A6A8E">
      <w:pPr>
        <w:pStyle w:val="Nagwek1"/>
        <w:numPr>
          <w:ilvl w:val="0"/>
          <w:numId w:val="13"/>
        </w:numPr>
        <w:rPr>
          <w:rFonts w:cs="Times New Roman"/>
          <w:color w:val="auto"/>
          <w:sz w:val="22"/>
          <w:szCs w:val="22"/>
        </w:rPr>
      </w:pPr>
      <w:bookmarkStart w:id="3" w:name="_Toc194405788"/>
      <w:r w:rsidRPr="001D4CCA">
        <w:rPr>
          <w:rFonts w:cs="Times New Roman"/>
          <w:color w:val="auto"/>
          <w:sz w:val="22"/>
          <w:szCs w:val="22"/>
        </w:rPr>
        <w:t>Funkcjonalność analizy obrazu z elementami sztucznej inteligencji</w:t>
      </w:r>
      <w:bookmarkEnd w:id="3"/>
    </w:p>
    <w:p w14:paraId="254D7CED" w14:textId="77777777" w:rsidR="0006659A" w:rsidRPr="001D4CCA" w:rsidRDefault="0006659A" w:rsidP="0006659A">
      <w:pPr>
        <w:rPr>
          <w:rFonts w:cs="Times New Roman"/>
          <w:sz w:val="22"/>
          <w:szCs w:val="22"/>
        </w:rPr>
      </w:pPr>
    </w:p>
    <w:p w14:paraId="11C5D14D" w14:textId="187BF35C" w:rsidR="002A3368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Analiza obrazu następuje centralnie na dostarczonym serwerze. Nie zużywa mocy obliczeniowej stacji roboczej. Nie dopuszcza się analizy poza infrastrukturą Zamawiającego (np. rozwiązania „chmurowe”).</w:t>
      </w:r>
    </w:p>
    <w:p w14:paraId="4399351E" w14:textId="21AFCD54" w:rsidR="002A3368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Automatyczna segmentacja skanu – oznaczanie tła, tkanki nowotworowej i podścieliska</w:t>
      </w:r>
    </w:p>
    <w:p w14:paraId="70277931" w14:textId="6F7AB06B" w:rsidR="002A3368" w:rsidRPr="001D4CCA" w:rsidRDefault="002A3368" w:rsidP="002A3368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Funkcja uruchamiana na żądanie lub jako element obróbki wstępnej bezpośrednio po skanowaniu. Zadania zlecone przez użytkowników w razie kolejkowania muszą mieć wyższy priorytet niż zadania zlecone automatycznie.</w:t>
      </w:r>
    </w:p>
    <w:p w14:paraId="45B3E971" w14:textId="1BAA289D" w:rsidR="002A3368" w:rsidRPr="001D4CCA" w:rsidRDefault="002A3368" w:rsidP="002A3368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Funkcja powinna wskazywać i oznaczać odpowiednie obszary przy użyciu kolorów lub adnotacji z możliwością regulacji przezroczystości oznaczeń.</w:t>
      </w:r>
    </w:p>
    <w:p w14:paraId="03A7D82B" w14:textId="27A22762" w:rsidR="002A3368" w:rsidRPr="001D4CCA" w:rsidRDefault="002A3368" w:rsidP="002A3368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lastRenderedPageBreak/>
        <w:t>Funkcja powinna posiadać możliwość predefiniowania przezroczystości oznaczeń dla poszczególnych użytkowników oraz możliwość przywrócenia ustawień wstępnych po modyfikacji.</w:t>
      </w:r>
    </w:p>
    <w:p w14:paraId="3DBA6490" w14:textId="51C0547D" w:rsidR="009E4757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 xml:space="preserve">Algorytmy do analizy preparatów immunohistochemicznych w zakresie reakcji jądrowych i błonowych dla przeciwciał: Ki-67, ER (estrogen), </w:t>
      </w:r>
      <w:proofErr w:type="spellStart"/>
      <w:r w:rsidRPr="001D4CCA">
        <w:rPr>
          <w:rFonts w:cs="Times New Roman"/>
          <w:bCs/>
          <w:sz w:val="22"/>
          <w:szCs w:val="22"/>
        </w:rPr>
        <w:t>PgR</w:t>
      </w:r>
      <w:proofErr w:type="spellEnd"/>
      <w:r w:rsidRPr="001D4CCA">
        <w:rPr>
          <w:rFonts w:cs="Times New Roman"/>
          <w:bCs/>
          <w:sz w:val="22"/>
          <w:szCs w:val="22"/>
        </w:rPr>
        <w:t xml:space="preserve"> (progesteron), HER-2. </w:t>
      </w:r>
      <w:r w:rsidRPr="001D4CCA">
        <w:rPr>
          <w:rFonts w:cs="Times New Roman"/>
          <w:sz w:val="22"/>
          <w:szCs w:val="22"/>
        </w:rPr>
        <w:t xml:space="preserve"> </w:t>
      </w:r>
      <w:r w:rsidRPr="001D4CCA">
        <w:rPr>
          <w:rFonts w:cs="Times New Roman"/>
          <w:bCs/>
          <w:sz w:val="22"/>
          <w:szCs w:val="22"/>
        </w:rPr>
        <w:t>Po wykonaniu segmentacji skanu możliwość zawężenia działania algorytmów do obszarów oznaczonych jako tkanka nowotworowa.</w:t>
      </w:r>
    </w:p>
    <w:p w14:paraId="02B70FA8" w14:textId="11FAA759" w:rsidR="002A3368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Po zaznaczeniu obszaru analizy przez patomorfologa za pomocą prostokątnej adnotacji, system dokona analizy pod kątem:</w:t>
      </w:r>
    </w:p>
    <w:p w14:paraId="4F62C1DE" w14:textId="04319F72" w:rsidR="002A3368" w:rsidRPr="001D4CCA" w:rsidRDefault="002A3368" w:rsidP="002A3368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dla ER/</w:t>
      </w:r>
      <w:proofErr w:type="spellStart"/>
      <w:r w:rsidRPr="001D4CCA">
        <w:rPr>
          <w:rFonts w:cs="Times New Roman"/>
          <w:bCs/>
          <w:sz w:val="22"/>
          <w:szCs w:val="22"/>
        </w:rPr>
        <w:t>PgR</w:t>
      </w:r>
      <w:proofErr w:type="spellEnd"/>
      <w:r w:rsidRPr="001D4CCA">
        <w:rPr>
          <w:rFonts w:cs="Times New Roman"/>
          <w:bCs/>
          <w:sz w:val="22"/>
          <w:szCs w:val="22"/>
        </w:rPr>
        <w:t>/Ki-67: wskazanie odsetka dodatnich jąder komórkowych oraz wskazanie odsetka komórek ze słabą/umiarkowanie nasiloną/silną ekspresją</w:t>
      </w:r>
    </w:p>
    <w:p w14:paraId="5C30EECF" w14:textId="250D7891" w:rsidR="002A3368" w:rsidRPr="001D4CCA" w:rsidRDefault="002A3368" w:rsidP="002A3368">
      <w:pPr>
        <w:pStyle w:val="Akapitzlist"/>
        <w:numPr>
          <w:ilvl w:val="2"/>
          <w:numId w:val="13"/>
        </w:num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dla HER-2: wskazanie odsetka komórek z silną błonową ciągłą reakcją.</w:t>
      </w:r>
    </w:p>
    <w:p w14:paraId="36D85152" w14:textId="2D1C78DE" w:rsidR="002A3368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Analiza obszaru zawierającego 2000 komórek zajmuje nie dłużej niż 60 sekund.</w:t>
      </w:r>
    </w:p>
    <w:p w14:paraId="527D43E5" w14:textId="3F9706E8" w:rsidR="002A3368" w:rsidRPr="001D4CCA" w:rsidRDefault="002A3368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Informacja o kolejce operacji do wykonania z podziałem na segmentacje i adnotacje. Elementy na liście powinny być odnośnikami do konkretnych adnotacji.</w:t>
      </w:r>
    </w:p>
    <w:p w14:paraId="63581B5E" w14:textId="2CD8665C" w:rsidR="009E4757" w:rsidRPr="001D4CCA" w:rsidRDefault="00B828A3" w:rsidP="009A6A8E">
      <w:pPr>
        <w:pStyle w:val="Nagwek1"/>
        <w:numPr>
          <w:ilvl w:val="0"/>
          <w:numId w:val="13"/>
        </w:numPr>
        <w:rPr>
          <w:rFonts w:cs="Times New Roman"/>
          <w:color w:val="auto"/>
          <w:sz w:val="22"/>
          <w:szCs w:val="22"/>
        </w:rPr>
      </w:pPr>
      <w:bookmarkStart w:id="4" w:name="_Toc194405789"/>
      <w:r w:rsidRPr="001D4CCA">
        <w:rPr>
          <w:rFonts w:cs="Times New Roman"/>
          <w:color w:val="auto"/>
          <w:sz w:val="22"/>
          <w:szCs w:val="22"/>
        </w:rPr>
        <w:t>Przechowywanie skanów otrzymywanych ze skanera</w:t>
      </w:r>
      <w:bookmarkEnd w:id="4"/>
    </w:p>
    <w:p w14:paraId="67F1FDE6" w14:textId="77777777" w:rsidR="0006659A" w:rsidRPr="001D4CCA" w:rsidRDefault="0006659A" w:rsidP="0006659A">
      <w:pPr>
        <w:rPr>
          <w:rFonts w:cs="Times New Roman"/>
          <w:sz w:val="22"/>
          <w:szCs w:val="22"/>
        </w:rPr>
      </w:pPr>
    </w:p>
    <w:p w14:paraId="461ECFEC" w14:textId="7DBFFDC7" w:rsidR="009E4757" w:rsidRPr="001D4CCA" w:rsidRDefault="00B828A3" w:rsidP="0006659A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System do przechowywania skanów jednocześnie integruje w sobie funkcje analizy obrazu.</w:t>
      </w:r>
    </w:p>
    <w:p w14:paraId="7A338974" w14:textId="47B58603" w:rsidR="009E4757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Podręczna przestrzeń dyskowa do przetwarzania danych: min. 300 TB netto. System odporny na awarię dwóch, dowolnych dysków (RAID 6). System posiada 1 dysk pracujący w tzw. gorącej rezerwie (hot-</w:t>
      </w:r>
      <w:proofErr w:type="spellStart"/>
      <w:r w:rsidRPr="001D4CCA">
        <w:rPr>
          <w:rFonts w:cs="Times New Roman"/>
          <w:bCs/>
          <w:sz w:val="22"/>
          <w:szCs w:val="22"/>
        </w:rPr>
        <w:t>spare</w:t>
      </w:r>
      <w:proofErr w:type="spellEnd"/>
      <w:r w:rsidRPr="001D4CCA">
        <w:rPr>
          <w:rFonts w:cs="Times New Roman"/>
          <w:bCs/>
          <w:sz w:val="22"/>
          <w:szCs w:val="22"/>
        </w:rPr>
        <w:t>).</w:t>
      </w:r>
    </w:p>
    <w:p w14:paraId="45F431D3" w14:textId="0A8EF32F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Podręczna przestrzeń dyskowa cache SSD do przetwarzania danych: min. 3 TB netto. System odporny na awarię pojedynczego dysku (RAID 1/RAID 10).</w:t>
      </w:r>
    </w:p>
    <w:p w14:paraId="400DC914" w14:textId="14475BF3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W razie awarii, uszkodzone dyski zostają u Zamawiającego;</w:t>
      </w:r>
    </w:p>
    <w:p w14:paraId="5D9F9A22" w14:textId="622CEDA3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Moc obliczeniowa (procesory, ich liczba, częstotliwość taktowania, ilość pamięci RAM), a także żywotność dysków dostosowane do planowanego obciążenia systemu.</w:t>
      </w:r>
    </w:p>
    <w:p w14:paraId="29FE0D74" w14:textId="6241F955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Brak ograniczenia jednocześnie pracującej liczby użytkowników. Zachowanie wydajności przy jednoczesnej pracy do 20 osób.</w:t>
      </w:r>
    </w:p>
    <w:p w14:paraId="2DB6E369" w14:textId="049846A7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Liczba jednocześnie prowadzonych analiz obrazu – 1 wątek. W przypadku większej liczby żądanych jednocześnie analiz, system kolejkuje zadania i po zakończeniu bieżącego automatycznie inicjuje wykonanie kolejnego zadania z kolejki.</w:t>
      </w:r>
    </w:p>
    <w:p w14:paraId="08DFA253" w14:textId="6D70C9A2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Wydajność: wyświetlenie wskazanego skanu preparatu standardowej wielkości bez powiększenia w czasie nie dłuższym niż 7 sekund.</w:t>
      </w:r>
    </w:p>
    <w:p w14:paraId="3A54AAED" w14:textId="313B6807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Zasilacze redundantne AC 230V.</w:t>
      </w:r>
    </w:p>
    <w:p w14:paraId="14E1867C" w14:textId="671B5C60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Interfejsy IPMI+KVM do zdalnego zarządzania (dedykowane karty sieciowe).</w:t>
      </w:r>
    </w:p>
    <w:p w14:paraId="7CC0D796" w14:textId="3C2E4467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Interfejsy sieciowe: 2 x 1Gbit/s RJ45 + 2 x SFP+ 10Gbit/s.</w:t>
      </w:r>
    </w:p>
    <w:p w14:paraId="27AB3EF3" w14:textId="632BC255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 xml:space="preserve">Zajętość w szafie </w:t>
      </w:r>
      <w:proofErr w:type="spellStart"/>
      <w:r w:rsidRPr="001D4CCA">
        <w:rPr>
          <w:rFonts w:cs="Times New Roman"/>
          <w:bCs/>
          <w:sz w:val="22"/>
          <w:szCs w:val="22"/>
        </w:rPr>
        <w:t>rack</w:t>
      </w:r>
      <w:proofErr w:type="spellEnd"/>
      <w:r w:rsidRPr="001D4CCA">
        <w:rPr>
          <w:rFonts w:cs="Times New Roman"/>
          <w:bCs/>
          <w:sz w:val="22"/>
          <w:szCs w:val="22"/>
        </w:rPr>
        <w:t xml:space="preserve"> 19” – max. 4U. Cały dostarczany sprzęt zainstalowany zostanie w szafie </w:t>
      </w:r>
      <w:proofErr w:type="spellStart"/>
      <w:r w:rsidRPr="001D4CCA">
        <w:rPr>
          <w:rFonts w:cs="Times New Roman"/>
          <w:bCs/>
          <w:sz w:val="22"/>
          <w:szCs w:val="22"/>
        </w:rPr>
        <w:t>rack</w:t>
      </w:r>
      <w:proofErr w:type="spellEnd"/>
      <w:r w:rsidRPr="001D4CCA">
        <w:rPr>
          <w:rFonts w:cs="Times New Roman"/>
          <w:bCs/>
          <w:sz w:val="22"/>
          <w:szCs w:val="22"/>
        </w:rPr>
        <w:t xml:space="preserve"> 19”, wyposażony w niezbędne szyny montażowe, okablowanie, itp.</w:t>
      </w:r>
    </w:p>
    <w:p w14:paraId="7108DCC0" w14:textId="346713D7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bCs/>
          <w:sz w:val="22"/>
          <w:szCs w:val="22"/>
        </w:rPr>
        <w:t>Jeżeli wdrożenie wymaga użycia dodatkowych licencji komercyjnych (np. systemy operacyjne, bazy danych itp.), to należy je dostarczyć w ramach niniejszego zamówienia.</w:t>
      </w:r>
    </w:p>
    <w:p w14:paraId="3F53E2EE" w14:textId="3D1BA500" w:rsidR="00B828A3" w:rsidRPr="001D4CCA" w:rsidRDefault="00B828A3" w:rsidP="00B828A3">
      <w:pPr>
        <w:pStyle w:val="Akapitzlist"/>
        <w:numPr>
          <w:ilvl w:val="1"/>
          <w:numId w:val="13"/>
        </w:numPr>
        <w:ind w:left="567"/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 xml:space="preserve">Gwarancja na serwer min. </w:t>
      </w:r>
      <w:r w:rsidR="008F63D0" w:rsidRPr="001D4CCA">
        <w:rPr>
          <w:rFonts w:cs="Times New Roman"/>
          <w:sz w:val="22"/>
          <w:szCs w:val="22"/>
        </w:rPr>
        <w:t>36</w:t>
      </w:r>
      <w:r w:rsidRPr="001D4CCA">
        <w:rPr>
          <w:rFonts w:cs="Times New Roman"/>
          <w:sz w:val="22"/>
          <w:szCs w:val="22"/>
        </w:rPr>
        <w:t xml:space="preserve"> m-</w:t>
      </w:r>
      <w:proofErr w:type="spellStart"/>
      <w:r w:rsidRPr="001D4CCA">
        <w:rPr>
          <w:rFonts w:cs="Times New Roman"/>
          <w:sz w:val="22"/>
          <w:szCs w:val="22"/>
        </w:rPr>
        <w:t>cy</w:t>
      </w:r>
      <w:proofErr w:type="spellEnd"/>
      <w:r w:rsidRPr="001D4CCA">
        <w:rPr>
          <w:rFonts w:cs="Times New Roman"/>
          <w:sz w:val="22"/>
          <w:szCs w:val="22"/>
        </w:rPr>
        <w:t xml:space="preserve"> z naprawą na następny dzień roboczy w miejscu instalacji (on-</w:t>
      </w:r>
      <w:proofErr w:type="spellStart"/>
      <w:r w:rsidRPr="001D4CCA">
        <w:rPr>
          <w:rFonts w:cs="Times New Roman"/>
          <w:sz w:val="22"/>
          <w:szCs w:val="22"/>
        </w:rPr>
        <w:t>site</w:t>
      </w:r>
      <w:proofErr w:type="spellEnd"/>
      <w:r w:rsidRPr="001D4CCA">
        <w:rPr>
          <w:rFonts w:cs="Times New Roman"/>
          <w:sz w:val="22"/>
          <w:szCs w:val="22"/>
        </w:rPr>
        <w:t xml:space="preserve"> </w:t>
      </w:r>
      <w:proofErr w:type="spellStart"/>
      <w:r w:rsidRPr="001D4CCA">
        <w:rPr>
          <w:rFonts w:cs="Times New Roman"/>
          <w:sz w:val="22"/>
          <w:szCs w:val="22"/>
        </w:rPr>
        <w:t>next</w:t>
      </w:r>
      <w:proofErr w:type="spellEnd"/>
      <w:r w:rsidRPr="001D4CCA">
        <w:rPr>
          <w:rFonts w:cs="Times New Roman"/>
          <w:sz w:val="22"/>
          <w:szCs w:val="22"/>
        </w:rPr>
        <w:t xml:space="preserve"> business </w:t>
      </w:r>
      <w:proofErr w:type="spellStart"/>
      <w:r w:rsidRPr="001D4CCA">
        <w:rPr>
          <w:rFonts w:cs="Times New Roman"/>
          <w:sz w:val="22"/>
          <w:szCs w:val="22"/>
        </w:rPr>
        <w:t>day</w:t>
      </w:r>
      <w:proofErr w:type="spellEnd"/>
      <w:r w:rsidRPr="001D4CCA">
        <w:rPr>
          <w:rFonts w:cs="Times New Roman"/>
          <w:sz w:val="22"/>
          <w:szCs w:val="22"/>
        </w:rPr>
        <w:t>).</w:t>
      </w:r>
    </w:p>
    <w:p w14:paraId="77F12B69" w14:textId="77777777" w:rsidR="00B828A3" w:rsidRPr="001D4CCA" w:rsidRDefault="00B828A3">
      <w:pPr>
        <w:rPr>
          <w:rFonts w:eastAsiaTheme="majorEastAsia"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br w:type="page"/>
      </w:r>
    </w:p>
    <w:p w14:paraId="6308A4A5" w14:textId="15083EE9" w:rsidR="009E4757" w:rsidRPr="001D4CCA" w:rsidRDefault="00B828A3" w:rsidP="009A6A8E">
      <w:pPr>
        <w:pStyle w:val="Nagwek1"/>
        <w:numPr>
          <w:ilvl w:val="0"/>
          <w:numId w:val="13"/>
        </w:numPr>
        <w:rPr>
          <w:rFonts w:cs="Times New Roman"/>
          <w:color w:val="auto"/>
          <w:sz w:val="22"/>
          <w:szCs w:val="22"/>
        </w:rPr>
      </w:pPr>
      <w:bookmarkStart w:id="5" w:name="_Toc194405790"/>
      <w:r w:rsidRPr="001D4CCA">
        <w:rPr>
          <w:rFonts w:cs="Times New Roman"/>
          <w:color w:val="auto"/>
          <w:sz w:val="22"/>
          <w:szCs w:val="22"/>
        </w:rPr>
        <w:lastRenderedPageBreak/>
        <w:t>Integracja ze skanerem histologicznym</w:t>
      </w:r>
      <w:bookmarkEnd w:id="5"/>
    </w:p>
    <w:p w14:paraId="7E55AC9F" w14:textId="77777777" w:rsidR="0006659A" w:rsidRPr="001D4CCA" w:rsidRDefault="0006659A" w:rsidP="0006659A">
      <w:pPr>
        <w:rPr>
          <w:rFonts w:cs="Times New Roman"/>
          <w:sz w:val="22"/>
          <w:szCs w:val="22"/>
        </w:rPr>
      </w:pPr>
    </w:p>
    <w:p w14:paraId="74D4E3A4" w14:textId="33B0C27B" w:rsidR="003A1C72" w:rsidRPr="001D4CCA" w:rsidRDefault="00B828A3" w:rsidP="00B828A3">
      <w:pPr>
        <w:jc w:val="both"/>
        <w:rPr>
          <w:rFonts w:cs="Times New Roman"/>
          <w:sz w:val="22"/>
          <w:szCs w:val="22"/>
        </w:rPr>
      </w:pPr>
      <w:r w:rsidRPr="001D4CCA">
        <w:rPr>
          <w:rFonts w:cs="Times New Roman"/>
          <w:sz w:val="22"/>
          <w:szCs w:val="22"/>
        </w:rPr>
        <w:t>Przedmiotem dostawy i wdrożenia jest integracja oferowanego rozwiązania ze skaner</w:t>
      </w:r>
      <w:r w:rsidR="001D5528" w:rsidRPr="001D4CCA">
        <w:rPr>
          <w:rFonts w:cs="Times New Roman"/>
          <w:sz w:val="22"/>
          <w:szCs w:val="22"/>
        </w:rPr>
        <w:t>em</w:t>
      </w:r>
      <w:r w:rsidRPr="001D4CCA">
        <w:rPr>
          <w:rFonts w:cs="Times New Roman"/>
          <w:sz w:val="22"/>
          <w:szCs w:val="22"/>
        </w:rPr>
        <w:t xml:space="preserve"> </w:t>
      </w:r>
      <w:r w:rsidR="00220C78" w:rsidRPr="001D4CCA">
        <w:rPr>
          <w:rFonts w:cs="Times New Roman"/>
          <w:sz w:val="22"/>
          <w:szCs w:val="22"/>
        </w:rPr>
        <w:t>będącym przedmiotem niniejszego postępowania.</w:t>
      </w:r>
      <w:bookmarkEnd w:id="0"/>
    </w:p>
    <w:sectPr w:rsidR="003A1C72" w:rsidRPr="001D4CC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886DD" w14:textId="77777777" w:rsidR="00F00316" w:rsidRDefault="00F00316" w:rsidP="00344018">
      <w:pPr>
        <w:spacing w:after="0" w:line="240" w:lineRule="auto"/>
      </w:pPr>
      <w:r>
        <w:separator/>
      </w:r>
    </w:p>
  </w:endnote>
  <w:endnote w:type="continuationSeparator" w:id="0">
    <w:p w14:paraId="37D69B68" w14:textId="77777777" w:rsidR="00F00316" w:rsidRDefault="00F00316" w:rsidP="0034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7687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85D2D8" w14:textId="42D6BCCF" w:rsidR="00D70A23" w:rsidRDefault="00D70A2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D4CC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D4CC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FEEAE8" w14:textId="77777777" w:rsidR="00344018" w:rsidRDefault="003440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7654D" w14:textId="77777777" w:rsidR="00F00316" w:rsidRDefault="00F00316" w:rsidP="00344018">
      <w:pPr>
        <w:spacing w:after="0" w:line="240" w:lineRule="auto"/>
      </w:pPr>
      <w:r>
        <w:separator/>
      </w:r>
    </w:p>
  </w:footnote>
  <w:footnote w:type="continuationSeparator" w:id="0">
    <w:p w14:paraId="39257B5C" w14:textId="77777777" w:rsidR="00F00316" w:rsidRDefault="00F00316" w:rsidP="00344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0141"/>
    <w:multiLevelType w:val="hybridMultilevel"/>
    <w:tmpl w:val="763AEC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21AF"/>
    <w:multiLevelType w:val="multilevel"/>
    <w:tmpl w:val="5D341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2484081"/>
    <w:multiLevelType w:val="hybridMultilevel"/>
    <w:tmpl w:val="97586F7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5B824D2"/>
    <w:multiLevelType w:val="hybridMultilevel"/>
    <w:tmpl w:val="8926E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D3521"/>
    <w:multiLevelType w:val="hybridMultilevel"/>
    <w:tmpl w:val="6E92679A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79212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02E5F"/>
    <w:multiLevelType w:val="hybridMultilevel"/>
    <w:tmpl w:val="6B9A5060"/>
    <w:lvl w:ilvl="0" w:tplc="3328F902">
      <w:start w:val="1"/>
      <w:numFmt w:val="bullet"/>
      <w:lvlText w:val=""/>
      <w:lvlJc w:val="center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B70652"/>
    <w:multiLevelType w:val="multilevel"/>
    <w:tmpl w:val="71FA243E"/>
    <w:styleLink w:val="Moduy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41803D9"/>
    <w:multiLevelType w:val="multilevel"/>
    <w:tmpl w:val="6B028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EC22E2"/>
    <w:multiLevelType w:val="hybridMultilevel"/>
    <w:tmpl w:val="E5C44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22778"/>
    <w:multiLevelType w:val="multilevel"/>
    <w:tmpl w:val="A34889CE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center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7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5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1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4" w:hanging="128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E105EF3"/>
    <w:multiLevelType w:val="multilevel"/>
    <w:tmpl w:val="C71C0CF8"/>
    <w:lvl w:ilvl="0">
      <w:start w:val="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8" w:hanging="58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2F78437D"/>
    <w:multiLevelType w:val="multilevel"/>
    <w:tmpl w:val="71FA243E"/>
    <w:numStyleLink w:val="Moduy"/>
  </w:abstractNum>
  <w:abstractNum w:abstractNumId="12" w15:restartNumberingAfterBreak="0">
    <w:nsid w:val="31A96BDB"/>
    <w:multiLevelType w:val="hybridMultilevel"/>
    <w:tmpl w:val="E530266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8B77E4C"/>
    <w:multiLevelType w:val="multilevel"/>
    <w:tmpl w:val="A34889CE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center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7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5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1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4" w:hanging="128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ACE2065"/>
    <w:multiLevelType w:val="hybridMultilevel"/>
    <w:tmpl w:val="CBDC55D6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80BE5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A42C5"/>
    <w:multiLevelType w:val="hybridMultilevel"/>
    <w:tmpl w:val="9F006D5E"/>
    <w:lvl w:ilvl="0" w:tplc="3328F902">
      <w:start w:val="1"/>
      <w:numFmt w:val="bullet"/>
      <w:lvlText w:val=""/>
      <w:lvlJc w:val="center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F724738"/>
    <w:multiLevelType w:val="hybridMultilevel"/>
    <w:tmpl w:val="F25AE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43759"/>
    <w:multiLevelType w:val="multilevel"/>
    <w:tmpl w:val="2E3E5BF8"/>
    <w:lvl w:ilvl="0">
      <w:start w:val="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0" w:hanging="58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8" w15:restartNumberingAfterBreak="0">
    <w:nsid w:val="42545830"/>
    <w:multiLevelType w:val="hybridMultilevel"/>
    <w:tmpl w:val="0A56EB84"/>
    <w:lvl w:ilvl="0" w:tplc="D57CA5FA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0218B"/>
    <w:multiLevelType w:val="hybridMultilevel"/>
    <w:tmpl w:val="33CEC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542F6"/>
    <w:multiLevelType w:val="hybridMultilevel"/>
    <w:tmpl w:val="4E30ED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C894C4D"/>
    <w:multiLevelType w:val="hybridMultilevel"/>
    <w:tmpl w:val="D18EB816"/>
    <w:lvl w:ilvl="0" w:tplc="7980BE50">
      <w:start w:val="1"/>
      <w:numFmt w:val="lowerLetter"/>
      <w:lvlText w:val="%1."/>
      <w:lvlJc w:val="left"/>
      <w:pPr>
        <w:ind w:left="2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D9D2D18"/>
    <w:multiLevelType w:val="hybridMultilevel"/>
    <w:tmpl w:val="F0684DC8"/>
    <w:lvl w:ilvl="0" w:tplc="EBBC21DA">
      <w:start w:val="2"/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524C3"/>
    <w:multiLevelType w:val="hybridMultilevel"/>
    <w:tmpl w:val="BAF83C1C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06F2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275E9"/>
    <w:multiLevelType w:val="hybridMultilevel"/>
    <w:tmpl w:val="7C30B3A8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2A2F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B570E"/>
    <w:multiLevelType w:val="multilevel"/>
    <w:tmpl w:val="513A9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8A605C"/>
    <w:multiLevelType w:val="hybridMultilevel"/>
    <w:tmpl w:val="0B144B16"/>
    <w:lvl w:ilvl="0" w:tplc="5EC05A84"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E7F57"/>
    <w:multiLevelType w:val="hybridMultilevel"/>
    <w:tmpl w:val="E07A2A72"/>
    <w:lvl w:ilvl="0" w:tplc="7206F2B2">
      <w:start w:val="1"/>
      <w:numFmt w:val="decimal"/>
      <w:lvlText w:val="%1."/>
      <w:lvlJc w:val="left"/>
      <w:pPr>
        <w:ind w:left="2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26"/>
  </w:num>
  <w:num w:numId="3">
    <w:abstractNumId w:val="3"/>
  </w:num>
  <w:num w:numId="4">
    <w:abstractNumId w:val="22"/>
  </w:num>
  <w:num w:numId="5">
    <w:abstractNumId w:val="19"/>
  </w:num>
  <w:num w:numId="6">
    <w:abstractNumId w:val="18"/>
  </w:num>
  <w:num w:numId="7">
    <w:abstractNumId w:val="16"/>
  </w:num>
  <w:num w:numId="8">
    <w:abstractNumId w:val="0"/>
  </w:num>
  <w:num w:numId="9">
    <w:abstractNumId w:val="24"/>
  </w:num>
  <w:num w:numId="10">
    <w:abstractNumId w:val="4"/>
  </w:num>
  <w:num w:numId="11">
    <w:abstractNumId w:val="14"/>
  </w:num>
  <w:num w:numId="12">
    <w:abstractNumId w:val="23"/>
  </w:num>
  <w:num w:numId="13">
    <w:abstractNumId w:val="25"/>
  </w:num>
  <w:num w:numId="14">
    <w:abstractNumId w:val="1"/>
  </w:num>
  <w:num w:numId="15">
    <w:abstractNumId w:val="6"/>
  </w:num>
  <w:num w:numId="16">
    <w:abstractNumId w:val="11"/>
  </w:num>
  <w:num w:numId="17">
    <w:abstractNumId w:val="15"/>
  </w:num>
  <w:num w:numId="18">
    <w:abstractNumId w:val="13"/>
  </w:num>
  <w:num w:numId="19">
    <w:abstractNumId w:val="9"/>
  </w:num>
  <w:num w:numId="20">
    <w:abstractNumId w:val="27"/>
  </w:num>
  <w:num w:numId="21">
    <w:abstractNumId w:val="21"/>
  </w:num>
  <w:num w:numId="22">
    <w:abstractNumId w:val="2"/>
  </w:num>
  <w:num w:numId="23">
    <w:abstractNumId w:val="20"/>
  </w:num>
  <w:num w:numId="24">
    <w:abstractNumId w:val="12"/>
  </w:num>
  <w:num w:numId="25">
    <w:abstractNumId w:val="5"/>
  </w:num>
  <w:num w:numId="26">
    <w:abstractNumId w:val="10"/>
  </w:num>
  <w:num w:numId="27">
    <w:abstractNumId w:val="1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DE3"/>
    <w:rsid w:val="000316DB"/>
    <w:rsid w:val="00056920"/>
    <w:rsid w:val="000652A0"/>
    <w:rsid w:val="0006659A"/>
    <w:rsid w:val="00067608"/>
    <w:rsid w:val="00074332"/>
    <w:rsid w:val="0007755F"/>
    <w:rsid w:val="000912BD"/>
    <w:rsid w:val="000939B3"/>
    <w:rsid w:val="000C1B21"/>
    <w:rsid w:val="000F6C6B"/>
    <w:rsid w:val="00102DB6"/>
    <w:rsid w:val="00122AD5"/>
    <w:rsid w:val="0012744C"/>
    <w:rsid w:val="00131E42"/>
    <w:rsid w:val="001402A0"/>
    <w:rsid w:val="00166CDF"/>
    <w:rsid w:val="001874E5"/>
    <w:rsid w:val="001A17A0"/>
    <w:rsid w:val="001B79C1"/>
    <w:rsid w:val="001D2FF5"/>
    <w:rsid w:val="001D4CCA"/>
    <w:rsid w:val="001D5528"/>
    <w:rsid w:val="001F6254"/>
    <w:rsid w:val="00220C78"/>
    <w:rsid w:val="00223572"/>
    <w:rsid w:val="00226A8A"/>
    <w:rsid w:val="002344EC"/>
    <w:rsid w:val="002428FF"/>
    <w:rsid w:val="00250B01"/>
    <w:rsid w:val="00270DE6"/>
    <w:rsid w:val="00295C07"/>
    <w:rsid w:val="002A3368"/>
    <w:rsid w:val="0030698B"/>
    <w:rsid w:val="00324EE7"/>
    <w:rsid w:val="00325DCB"/>
    <w:rsid w:val="00336B24"/>
    <w:rsid w:val="00344018"/>
    <w:rsid w:val="003506A9"/>
    <w:rsid w:val="0039098F"/>
    <w:rsid w:val="003A1C72"/>
    <w:rsid w:val="003B1D10"/>
    <w:rsid w:val="003E20E5"/>
    <w:rsid w:val="003F0831"/>
    <w:rsid w:val="00417F0E"/>
    <w:rsid w:val="00481F7B"/>
    <w:rsid w:val="00484ECD"/>
    <w:rsid w:val="004B16CA"/>
    <w:rsid w:val="004B45DF"/>
    <w:rsid w:val="00523F34"/>
    <w:rsid w:val="005C082D"/>
    <w:rsid w:val="005C6493"/>
    <w:rsid w:val="005F7F3D"/>
    <w:rsid w:val="00614E7D"/>
    <w:rsid w:val="00622E3C"/>
    <w:rsid w:val="00651000"/>
    <w:rsid w:val="006A7FEE"/>
    <w:rsid w:val="006D55EA"/>
    <w:rsid w:val="006F37C1"/>
    <w:rsid w:val="0072458A"/>
    <w:rsid w:val="00761202"/>
    <w:rsid w:val="007642BB"/>
    <w:rsid w:val="00796052"/>
    <w:rsid w:val="007E379F"/>
    <w:rsid w:val="007E6186"/>
    <w:rsid w:val="00805DEB"/>
    <w:rsid w:val="00820EC0"/>
    <w:rsid w:val="008246F6"/>
    <w:rsid w:val="00857BCE"/>
    <w:rsid w:val="00894902"/>
    <w:rsid w:val="008E1C5E"/>
    <w:rsid w:val="008E7882"/>
    <w:rsid w:val="008E7EA4"/>
    <w:rsid w:val="008E7F60"/>
    <w:rsid w:val="008F63D0"/>
    <w:rsid w:val="009052FE"/>
    <w:rsid w:val="009414A0"/>
    <w:rsid w:val="00943A0F"/>
    <w:rsid w:val="00946B5F"/>
    <w:rsid w:val="00956AD5"/>
    <w:rsid w:val="009A6A8E"/>
    <w:rsid w:val="009B0E10"/>
    <w:rsid w:val="009B78E5"/>
    <w:rsid w:val="009D7F90"/>
    <w:rsid w:val="009E1EC0"/>
    <w:rsid w:val="009E4757"/>
    <w:rsid w:val="009F3E7C"/>
    <w:rsid w:val="00A3586B"/>
    <w:rsid w:val="00A60D60"/>
    <w:rsid w:val="00A748E6"/>
    <w:rsid w:val="00AA56D9"/>
    <w:rsid w:val="00AB3972"/>
    <w:rsid w:val="00AB3FCA"/>
    <w:rsid w:val="00AE0A9D"/>
    <w:rsid w:val="00B00735"/>
    <w:rsid w:val="00B10813"/>
    <w:rsid w:val="00B25CE2"/>
    <w:rsid w:val="00B35059"/>
    <w:rsid w:val="00B828A3"/>
    <w:rsid w:val="00B82AC2"/>
    <w:rsid w:val="00B82DE3"/>
    <w:rsid w:val="00C3056F"/>
    <w:rsid w:val="00C56F17"/>
    <w:rsid w:val="00C66BD9"/>
    <w:rsid w:val="00C730C4"/>
    <w:rsid w:val="00CC3857"/>
    <w:rsid w:val="00CC6841"/>
    <w:rsid w:val="00CF2976"/>
    <w:rsid w:val="00D11B4F"/>
    <w:rsid w:val="00D70A23"/>
    <w:rsid w:val="00D72BFC"/>
    <w:rsid w:val="00D73EEE"/>
    <w:rsid w:val="00D76B9C"/>
    <w:rsid w:val="00DE010A"/>
    <w:rsid w:val="00DE7165"/>
    <w:rsid w:val="00E074B1"/>
    <w:rsid w:val="00E525EE"/>
    <w:rsid w:val="00E67D93"/>
    <w:rsid w:val="00EC6B84"/>
    <w:rsid w:val="00EE0F2E"/>
    <w:rsid w:val="00F00316"/>
    <w:rsid w:val="00F07F4F"/>
    <w:rsid w:val="00F475B8"/>
    <w:rsid w:val="00F7469B"/>
    <w:rsid w:val="00F7561F"/>
    <w:rsid w:val="00F96F2F"/>
    <w:rsid w:val="00FD2094"/>
    <w:rsid w:val="00FD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077F93"/>
  <w15:chartTrackingRefBased/>
  <w15:docId w15:val="{5AEA3301-8171-475E-98DC-DCC9CB50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6A8E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A8E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2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2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2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2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2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2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2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2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A8E"/>
    <w:rPr>
      <w:rFonts w:ascii="Times New Roman" w:eastAsiaTheme="majorEastAsia" w:hAnsi="Times New Roman" w:cstheme="majorBidi"/>
      <w:color w:val="0F4761" w:themeColor="accent1" w:themeShade="BF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2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82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D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D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D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D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D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D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2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2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2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2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2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2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2D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2D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2D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2D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4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018"/>
  </w:style>
  <w:style w:type="paragraph" w:styleId="Stopka">
    <w:name w:val="footer"/>
    <w:basedOn w:val="Normalny"/>
    <w:link w:val="StopkaZnak"/>
    <w:uiPriority w:val="99"/>
    <w:unhideWhenUsed/>
    <w:rsid w:val="00344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018"/>
  </w:style>
  <w:style w:type="paragraph" w:styleId="Nagwekspisutreci">
    <w:name w:val="TOC Heading"/>
    <w:basedOn w:val="Nagwek1"/>
    <w:next w:val="Normalny"/>
    <w:uiPriority w:val="39"/>
    <w:unhideWhenUsed/>
    <w:qFormat/>
    <w:rsid w:val="00344018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07F4F"/>
    <w:pPr>
      <w:tabs>
        <w:tab w:val="left" w:pos="567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44018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344018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0D6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A3586B"/>
    <w:pPr>
      <w:spacing w:after="100"/>
      <w:ind w:left="480"/>
    </w:pPr>
  </w:style>
  <w:style w:type="numbering" w:customStyle="1" w:styleId="Moduy">
    <w:name w:val="Moduły"/>
    <w:uiPriority w:val="99"/>
    <w:rsid w:val="003E20E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DB57-B74D-4F26-A60F-37C7165C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1469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13</cp:revision>
  <dcterms:created xsi:type="dcterms:W3CDTF">2024-08-06T05:49:00Z</dcterms:created>
  <dcterms:modified xsi:type="dcterms:W3CDTF">2025-09-26T05:15:00Z</dcterms:modified>
</cp:coreProperties>
</file>